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C71" w:rsidRDefault="00191C71">
      <w:bookmarkStart w:id="0" w:name="_GoBack"/>
      <w:bookmarkEnd w:id="0"/>
    </w:p>
    <w:p w:rsidR="00191C71" w:rsidRDefault="004C0200" w:rsidP="00191C71">
      <w:pPr>
        <w:rPr>
          <w:rFonts w:ascii="Helvetica" w:hAnsi="Helvetica" w:cs="Helvetica"/>
          <w:b/>
          <w:sz w:val="24"/>
          <w:szCs w:val="21"/>
        </w:rPr>
      </w:pPr>
      <w:r>
        <w:rPr>
          <w:rFonts w:ascii="Helvetica" w:hAnsi="Helvetica" w:cs="Helvetica"/>
          <w:b/>
          <w:sz w:val="24"/>
          <w:szCs w:val="21"/>
        </w:rPr>
        <w:t>Q4</w:t>
      </w:r>
      <w:r w:rsidR="00191C71" w:rsidRPr="00C76404">
        <w:rPr>
          <w:rFonts w:ascii="Helvetica" w:hAnsi="Helvetica" w:cs="Helvetica"/>
          <w:b/>
          <w:sz w:val="24"/>
          <w:szCs w:val="21"/>
        </w:rPr>
        <w:t xml:space="preserve"> 2012 PPR </w:t>
      </w:r>
      <w:r w:rsidR="00191C71">
        <w:rPr>
          <w:rFonts w:ascii="Helvetica" w:hAnsi="Helvetica" w:cs="Helvetica"/>
          <w:b/>
          <w:sz w:val="24"/>
          <w:szCs w:val="21"/>
        </w:rPr>
        <w:t xml:space="preserve">Supplemental Answer </w:t>
      </w:r>
      <w:r w:rsidR="000A242F">
        <w:rPr>
          <w:rFonts w:ascii="Helvetica" w:hAnsi="Helvetica" w:cs="Helvetica"/>
          <w:b/>
          <w:sz w:val="24"/>
          <w:szCs w:val="21"/>
        </w:rPr>
        <w:t xml:space="preserve">14a </w:t>
      </w:r>
      <w:r w:rsidR="005B31ED">
        <w:rPr>
          <w:rFonts w:ascii="Helvetica" w:hAnsi="Helvetica" w:cs="Helvetica"/>
          <w:b/>
          <w:sz w:val="24"/>
          <w:szCs w:val="21"/>
        </w:rPr>
        <w:t>-</w:t>
      </w:r>
      <w:r w:rsidR="009B743D">
        <w:rPr>
          <w:rFonts w:ascii="Helvetica" w:hAnsi="Helvetica" w:cs="Helvetica"/>
          <w:b/>
          <w:sz w:val="24"/>
          <w:szCs w:val="21"/>
        </w:rPr>
        <w:t xml:space="preserve"> Data Collection Project WISCONSIN</w:t>
      </w:r>
    </w:p>
    <w:p w:rsidR="00191C71" w:rsidRDefault="00191C71" w:rsidP="00191C71">
      <w:pPr>
        <w:rPr>
          <w:rFonts w:ascii="Helvetica" w:hAnsi="Helvetica" w:cs="Helvetica"/>
          <w:b/>
          <w:sz w:val="24"/>
          <w:szCs w:val="21"/>
        </w:rPr>
      </w:pPr>
    </w:p>
    <w:p w:rsidR="00191C71" w:rsidRDefault="00AA4514" w:rsidP="00191C71">
      <w:pPr>
        <w:rPr>
          <w:rFonts w:ascii="Helvetica" w:hAnsi="Helvetica" w:cs="Helvetica"/>
          <w:b/>
          <w:sz w:val="24"/>
          <w:szCs w:val="21"/>
        </w:rPr>
      </w:pPr>
      <w:r>
        <w:rPr>
          <w:rFonts w:ascii="Helvetica" w:hAnsi="Helvetica" w:cs="Helvetica"/>
          <w:b/>
          <w:sz w:val="24"/>
          <w:szCs w:val="21"/>
        </w:rPr>
        <w:t>2</w:t>
      </w:r>
      <w:r w:rsidR="001A790A">
        <w:rPr>
          <w:rFonts w:ascii="Helvetica" w:hAnsi="Helvetica" w:cs="Helvetica"/>
          <w:b/>
          <w:sz w:val="24"/>
          <w:szCs w:val="21"/>
        </w:rPr>
        <w:t>. Project Milestones:</w:t>
      </w:r>
    </w:p>
    <w:p w:rsidR="00191C71" w:rsidRDefault="00191C71"/>
    <w:p w:rsidR="001A790A" w:rsidRDefault="001A790A">
      <w:r w:rsidRPr="001A790A">
        <w:rPr>
          <w:b/>
        </w:rPr>
        <w:t>Consumer Feedback/Verification:</w:t>
      </w:r>
      <w:r w:rsidRPr="001A790A">
        <w:t xml:space="preserve">  </w:t>
      </w:r>
    </w:p>
    <w:p w:rsidR="00191C71" w:rsidRDefault="009B743D">
      <w:r>
        <w:t>The LinkWISCONSIN</w:t>
      </w:r>
      <w:r w:rsidR="001A790A" w:rsidRPr="001A790A">
        <w:t xml:space="preserve"> interactive map contains a user feedback mechanism that identifies the precise coordinates of each point of feedback.  We use the feedback received from this process to identify and investigate areas where consumer feedback conflicts with provider data.  </w:t>
      </w:r>
    </w:p>
    <w:p w:rsidR="001A790A" w:rsidRDefault="001A790A"/>
    <w:p w:rsidR="001A790A" w:rsidRDefault="001A790A">
      <w:r>
        <w:t>Status – Complete</w:t>
      </w:r>
    </w:p>
    <w:p w:rsidR="001A790A" w:rsidRDefault="001A790A"/>
    <w:p w:rsidR="001A790A" w:rsidRDefault="001A790A">
      <w:r>
        <w:rPr>
          <w:b/>
        </w:rPr>
        <w:t>Data Format/</w:t>
      </w:r>
      <w:r w:rsidRPr="001A790A">
        <w:rPr>
          <w:b/>
        </w:rPr>
        <w:t>Pre-submission Test</w:t>
      </w:r>
      <w:r>
        <w:t>:</w:t>
      </w:r>
    </w:p>
    <w:p w:rsidR="007C22C5" w:rsidRDefault="001A790A">
      <w:r w:rsidRPr="001A790A">
        <w:t>Proprietary and NTIA-supplie</w:t>
      </w:r>
      <w:r>
        <w:t xml:space="preserve">d scripts are </w:t>
      </w:r>
      <w:r w:rsidRPr="001A790A">
        <w:t>run against the final data set prior to submission to ensure</w:t>
      </w:r>
      <w:r>
        <w:t xml:space="preserve"> that the dataset being submitted meets NTIA </w:t>
      </w:r>
      <w:r w:rsidRPr="001A790A">
        <w:t>model requirements.  This process oc</w:t>
      </w:r>
      <w:r>
        <w:t>curs with each data collection R</w:t>
      </w:r>
      <w:r w:rsidRPr="001A790A">
        <w:t>ound.</w:t>
      </w:r>
      <w:r>
        <w:t xml:space="preserve">  In addition w</w:t>
      </w:r>
      <w:r w:rsidRPr="001A790A">
        <w:t xml:space="preserve">e have integrated the NTIA technology/speed </w:t>
      </w:r>
      <w:r>
        <w:t>trips that were introduced in Round</w:t>
      </w:r>
      <w:r w:rsidRPr="001A790A">
        <w:t xml:space="preserve"> 5 i</w:t>
      </w:r>
      <w:r w:rsidR="009B743D">
        <w:t>nto our test code to check for p</w:t>
      </w:r>
      <w:r w:rsidRPr="001A790A">
        <w:t xml:space="preserve">rovider data that falls outside of the “normal” range as determined by NTIA.    If the data "trips" a warning flag, clarification is requested from the Provider.  </w:t>
      </w:r>
    </w:p>
    <w:p w:rsidR="001A790A" w:rsidRDefault="001A790A"/>
    <w:p w:rsidR="001A790A" w:rsidRDefault="001A790A">
      <w:r>
        <w:t>Status – Complete</w:t>
      </w:r>
    </w:p>
    <w:p w:rsidR="001A790A" w:rsidRDefault="001A790A"/>
    <w:p w:rsidR="001A790A" w:rsidRDefault="001A790A"/>
    <w:p w:rsidR="001A790A" w:rsidRDefault="001A790A">
      <w:pPr>
        <w:rPr>
          <w:rFonts w:ascii="Helvetica" w:hAnsi="Helvetica" w:cs="Helvetica"/>
          <w:b/>
          <w:sz w:val="24"/>
          <w:szCs w:val="21"/>
        </w:rPr>
      </w:pPr>
      <w:r w:rsidRPr="000A242F">
        <w:rPr>
          <w:rFonts w:ascii="Helvetica" w:hAnsi="Helvetica" w:cs="Helvetica"/>
          <w:b/>
          <w:sz w:val="24"/>
          <w:szCs w:val="21"/>
        </w:rPr>
        <w:t>4.</w:t>
      </w:r>
      <w:r w:rsidR="00882199">
        <w:rPr>
          <w:rFonts w:ascii="Helvetica" w:hAnsi="Helvetica" w:cs="Helvetica"/>
          <w:b/>
          <w:sz w:val="24"/>
          <w:szCs w:val="21"/>
        </w:rPr>
        <w:t xml:space="preserve"> Provide any other information…</w:t>
      </w:r>
    </w:p>
    <w:p w:rsidR="00576A91" w:rsidRDefault="00576A91">
      <w:pPr>
        <w:rPr>
          <w:rFonts w:ascii="Helvetica" w:hAnsi="Helvetica" w:cs="Helvetica"/>
          <w:b/>
          <w:sz w:val="24"/>
          <w:szCs w:val="21"/>
        </w:rPr>
      </w:pPr>
    </w:p>
    <w:p w:rsidR="00576A91" w:rsidRPr="00EB2345" w:rsidRDefault="00576A91" w:rsidP="00576A91">
      <w:pPr>
        <w:pStyle w:val="ListParagraph"/>
        <w:numPr>
          <w:ilvl w:val="0"/>
          <w:numId w:val="6"/>
        </w:numPr>
        <w:rPr>
          <w:rFonts w:asciiTheme="minorHAnsi" w:hAnsiTheme="minorHAnsi"/>
        </w:rPr>
      </w:pPr>
      <w:r w:rsidRPr="00EB2345">
        <w:rPr>
          <w:rFonts w:asciiTheme="minorHAnsi" w:hAnsiTheme="minorHAnsi"/>
        </w:rPr>
        <w:t>Broadband Provider Numbers from October 1, 2012 Submission:</w:t>
      </w:r>
    </w:p>
    <w:tbl>
      <w:tblPr>
        <w:tblW w:w="8443" w:type="dxa"/>
        <w:jc w:val="center"/>
        <w:tblInd w:w="93" w:type="dxa"/>
        <w:tblLook w:val="04A0" w:firstRow="1" w:lastRow="0" w:firstColumn="1" w:lastColumn="0" w:noHBand="0" w:noVBand="1"/>
      </w:tblPr>
      <w:tblGrid>
        <w:gridCol w:w="927"/>
        <w:gridCol w:w="1091"/>
        <w:gridCol w:w="1271"/>
        <w:gridCol w:w="1271"/>
        <w:gridCol w:w="941"/>
        <w:gridCol w:w="941"/>
        <w:gridCol w:w="1076"/>
        <w:gridCol w:w="1156"/>
      </w:tblGrid>
      <w:tr w:rsidR="00576A91" w:rsidRPr="00576A91" w:rsidTr="00EB2345">
        <w:trPr>
          <w:trHeight w:val="1155"/>
          <w:jc w:val="center"/>
        </w:trPr>
        <w:tc>
          <w:tcPr>
            <w:tcW w:w="927" w:type="dxa"/>
            <w:tcBorders>
              <w:top w:val="single" w:sz="4" w:space="0" w:color="auto"/>
              <w:left w:val="nil"/>
              <w:bottom w:val="nil"/>
              <w:right w:val="nil"/>
            </w:tcBorders>
            <w:shd w:val="clear" w:color="000000" w:fill="DDD9C3"/>
            <w:vAlign w:val="bottom"/>
            <w:hideMark/>
          </w:tcPr>
          <w:p w:rsidR="00576A91" w:rsidRPr="00576A91" w:rsidRDefault="00576A91" w:rsidP="00576A91">
            <w:pPr>
              <w:jc w:val="center"/>
              <w:rPr>
                <w:rFonts w:ascii="Calibri" w:eastAsia="Times New Roman" w:hAnsi="Calibri" w:cs="Arial"/>
                <w:b/>
                <w:bCs/>
                <w:color w:val="000000"/>
                <w:sz w:val="20"/>
                <w:szCs w:val="20"/>
              </w:rPr>
            </w:pPr>
            <w:r w:rsidRPr="00576A91">
              <w:rPr>
                <w:rFonts w:ascii="Calibri" w:eastAsia="Times New Roman" w:hAnsi="Calibri" w:cs="Arial"/>
                <w:b/>
                <w:bCs/>
                <w:color w:val="000000"/>
                <w:sz w:val="20"/>
                <w:szCs w:val="20"/>
              </w:rPr>
              <w:t>State</w:t>
            </w:r>
          </w:p>
        </w:tc>
        <w:tc>
          <w:tcPr>
            <w:tcW w:w="1053" w:type="dxa"/>
            <w:tcBorders>
              <w:top w:val="single" w:sz="4" w:space="0" w:color="auto"/>
              <w:left w:val="nil"/>
              <w:bottom w:val="nil"/>
              <w:right w:val="nil"/>
            </w:tcBorders>
            <w:shd w:val="clear" w:color="000000" w:fill="DDD9C3"/>
            <w:vAlign w:val="bottom"/>
            <w:hideMark/>
          </w:tcPr>
          <w:p w:rsidR="00576A91" w:rsidRPr="00576A91" w:rsidRDefault="00576A91" w:rsidP="00576A91">
            <w:pPr>
              <w:jc w:val="center"/>
              <w:rPr>
                <w:rFonts w:ascii="Calibri" w:eastAsia="Times New Roman" w:hAnsi="Calibri" w:cs="Arial"/>
                <w:b/>
                <w:bCs/>
                <w:color w:val="000000"/>
                <w:sz w:val="20"/>
                <w:szCs w:val="20"/>
              </w:rPr>
            </w:pPr>
            <w:r w:rsidRPr="00576A91">
              <w:rPr>
                <w:rFonts w:ascii="Calibri" w:eastAsia="Times New Roman" w:hAnsi="Calibri" w:cs="Arial"/>
                <w:b/>
                <w:bCs/>
                <w:color w:val="000000"/>
                <w:sz w:val="20"/>
                <w:szCs w:val="20"/>
              </w:rPr>
              <w:t>Total Confirmed NOFA Compliant Providers</w:t>
            </w:r>
          </w:p>
        </w:tc>
        <w:tc>
          <w:tcPr>
            <w:tcW w:w="1227" w:type="dxa"/>
            <w:tcBorders>
              <w:top w:val="single" w:sz="4" w:space="0" w:color="auto"/>
              <w:left w:val="nil"/>
              <w:bottom w:val="nil"/>
              <w:right w:val="nil"/>
            </w:tcBorders>
            <w:shd w:val="clear" w:color="000000" w:fill="DDD9C3"/>
            <w:vAlign w:val="bottom"/>
            <w:hideMark/>
          </w:tcPr>
          <w:p w:rsidR="00576A91" w:rsidRPr="00576A91" w:rsidRDefault="00576A91" w:rsidP="00576A91">
            <w:pPr>
              <w:jc w:val="center"/>
              <w:rPr>
                <w:rFonts w:ascii="Calibri" w:eastAsia="Times New Roman" w:hAnsi="Calibri" w:cs="Arial"/>
                <w:b/>
                <w:bCs/>
                <w:color w:val="000000"/>
                <w:sz w:val="20"/>
                <w:szCs w:val="20"/>
              </w:rPr>
            </w:pPr>
            <w:r w:rsidRPr="00576A91">
              <w:rPr>
                <w:rFonts w:ascii="Calibri" w:eastAsia="Times New Roman" w:hAnsi="Calibri" w:cs="Arial"/>
                <w:b/>
                <w:bCs/>
                <w:color w:val="000000"/>
                <w:sz w:val="20"/>
                <w:szCs w:val="20"/>
              </w:rPr>
              <w:t>Provider Participating</w:t>
            </w:r>
          </w:p>
        </w:tc>
        <w:tc>
          <w:tcPr>
            <w:tcW w:w="1227" w:type="dxa"/>
            <w:tcBorders>
              <w:top w:val="single" w:sz="4" w:space="0" w:color="auto"/>
              <w:left w:val="nil"/>
              <w:bottom w:val="nil"/>
              <w:right w:val="nil"/>
            </w:tcBorders>
            <w:shd w:val="clear" w:color="000000" w:fill="DDD9C3"/>
            <w:vAlign w:val="bottom"/>
            <w:hideMark/>
          </w:tcPr>
          <w:p w:rsidR="00576A91" w:rsidRPr="00576A91" w:rsidRDefault="00576A91" w:rsidP="00576A91">
            <w:pPr>
              <w:jc w:val="center"/>
              <w:rPr>
                <w:rFonts w:ascii="Calibri" w:eastAsia="Times New Roman" w:hAnsi="Calibri" w:cs="Arial"/>
                <w:b/>
                <w:bCs/>
                <w:color w:val="000000"/>
                <w:sz w:val="20"/>
                <w:szCs w:val="20"/>
              </w:rPr>
            </w:pPr>
            <w:r w:rsidRPr="00576A91">
              <w:rPr>
                <w:rFonts w:ascii="Calibri" w:eastAsia="Times New Roman" w:hAnsi="Calibri" w:cs="Arial"/>
                <w:b/>
                <w:bCs/>
                <w:color w:val="000000"/>
                <w:sz w:val="20"/>
                <w:szCs w:val="20"/>
              </w:rPr>
              <w:t>% Provider Participating</w:t>
            </w:r>
          </w:p>
        </w:tc>
        <w:tc>
          <w:tcPr>
            <w:tcW w:w="927" w:type="dxa"/>
            <w:tcBorders>
              <w:top w:val="single" w:sz="4" w:space="0" w:color="auto"/>
              <w:left w:val="nil"/>
              <w:bottom w:val="nil"/>
              <w:right w:val="nil"/>
            </w:tcBorders>
            <w:shd w:val="clear" w:color="000000" w:fill="DDD9C3"/>
            <w:vAlign w:val="bottom"/>
            <w:hideMark/>
          </w:tcPr>
          <w:p w:rsidR="00576A91" w:rsidRPr="00576A91" w:rsidRDefault="00576A91" w:rsidP="00576A91">
            <w:pPr>
              <w:jc w:val="center"/>
              <w:rPr>
                <w:rFonts w:ascii="Calibri" w:eastAsia="Times New Roman" w:hAnsi="Calibri" w:cs="Arial"/>
                <w:b/>
                <w:bCs/>
                <w:color w:val="000000"/>
                <w:sz w:val="20"/>
                <w:szCs w:val="20"/>
              </w:rPr>
            </w:pPr>
            <w:r w:rsidRPr="00576A91">
              <w:rPr>
                <w:rFonts w:ascii="Calibri" w:eastAsia="Times New Roman" w:hAnsi="Calibri" w:cs="Arial"/>
                <w:b/>
                <w:bCs/>
                <w:color w:val="000000"/>
                <w:sz w:val="20"/>
                <w:szCs w:val="20"/>
              </w:rPr>
              <w:t>Declined</w:t>
            </w:r>
          </w:p>
        </w:tc>
        <w:tc>
          <w:tcPr>
            <w:tcW w:w="927" w:type="dxa"/>
            <w:tcBorders>
              <w:top w:val="single" w:sz="4" w:space="0" w:color="auto"/>
              <w:left w:val="nil"/>
              <w:bottom w:val="nil"/>
              <w:right w:val="nil"/>
            </w:tcBorders>
            <w:shd w:val="clear" w:color="000000" w:fill="DDD9C3"/>
            <w:vAlign w:val="bottom"/>
            <w:hideMark/>
          </w:tcPr>
          <w:p w:rsidR="00576A91" w:rsidRPr="00576A91" w:rsidRDefault="00576A91" w:rsidP="00576A91">
            <w:pPr>
              <w:jc w:val="center"/>
              <w:rPr>
                <w:rFonts w:ascii="Calibri" w:eastAsia="Times New Roman" w:hAnsi="Calibri" w:cs="Arial"/>
                <w:b/>
                <w:bCs/>
                <w:color w:val="000000"/>
                <w:sz w:val="20"/>
                <w:szCs w:val="20"/>
              </w:rPr>
            </w:pPr>
            <w:r w:rsidRPr="00576A91">
              <w:rPr>
                <w:rFonts w:ascii="Calibri" w:eastAsia="Times New Roman" w:hAnsi="Calibri" w:cs="Arial"/>
                <w:b/>
                <w:bCs/>
                <w:color w:val="000000"/>
                <w:sz w:val="20"/>
                <w:szCs w:val="20"/>
              </w:rPr>
              <w:t>% Declined</w:t>
            </w:r>
          </w:p>
        </w:tc>
        <w:tc>
          <w:tcPr>
            <w:tcW w:w="1039" w:type="dxa"/>
            <w:tcBorders>
              <w:top w:val="single" w:sz="4" w:space="0" w:color="auto"/>
              <w:left w:val="nil"/>
              <w:bottom w:val="nil"/>
              <w:right w:val="nil"/>
            </w:tcBorders>
            <w:shd w:val="clear" w:color="000000" w:fill="DDD9C3"/>
            <w:vAlign w:val="bottom"/>
            <w:hideMark/>
          </w:tcPr>
          <w:p w:rsidR="00576A91" w:rsidRPr="00576A91" w:rsidRDefault="00576A91" w:rsidP="00576A91">
            <w:pPr>
              <w:jc w:val="center"/>
              <w:rPr>
                <w:rFonts w:ascii="Calibri" w:eastAsia="Times New Roman" w:hAnsi="Calibri" w:cs="Arial"/>
                <w:b/>
                <w:bCs/>
                <w:color w:val="000000"/>
                <w:sz w:val="20"/>
                <w:szCs w:val="20"/>
              </w:rPr>
            </w:pPr>
            <w:r w:rsidRPr="00576A91">
              <w:rPr>
                <w:rFonts w:ascii="Calibri" w:eastAsia="Times New Roman" w:hAnsi="Calibri" w:cs="Arial"/>
                <w:b/>
                <w:bCs/>
                <w:color w:val="000000"/>
                <w:sz w:val="20"/>
                <w:szCs w:val="20"/>
              </w:rPr>
              <w:t>Non-Responive (NR+E)</w:t>
            </w:r>
          </w:p>
        </w:tc>
        <w:tc>
          <w:tcPr>
            <w:tcW w:w="1116" w:type="dxa"/>
            <w:tcBorders>
              <w:top w:val="single" w:sz="4" w:space="0" w:color="auto"/>
              <w:left w:val="nil"/>
              <w:bottom w:val="nil"/>
              <w:right w:val="nil"/>
            </w:tcBorders>
            <w:shd w:val="clear" w:color="000000" w:fill="DDD9C3"/>
            <w:vAlign w:val="bottom"/>
            <w:hideMark/>
          </w:tcPr>
          <w:p w:rsidR="00576A91" w:rsidRPr="00576A91" w:rsidRDefault="00576A91" w:rsidP="00576A91">
            <w:pPr>
              <w:jc w:val="center"/>
              <w:rPr>
                <w:rFonts w:ascii="Calibri" w:eastAsia="Times New Roman" w:hAnsi="Calibri" w:cs="Arial"/>
                <w:b/>
                <w:bCs/>
                <w:color w:val="000000"/>
                <w:sz w:val="20"/>
                <w:szCs w:val="20"/>
              </w:rPr>
            </w:pPr>
            <w:r w:rsidRPr="00576A91">
              <w:rPr>
                <w:rFonts w:ascii="Calibri" w:eastAsia="Times New Roman" w:hAnsi="Calibri" w:cs="Arial"/>
                <w:b/>
                <w:bCs/>
                <w:color w:val="000000"/>
                <w:sz w:val="20"/>
                <w:szCs w:val="20"/>
              </w:rPr>
              <w:t>% Non-Responsive</w:t>
            </w:r>
          </w:p>
        </w:tc>
      </w:tr>
      <w:tr w:rsidR="00576A91" w:rsidRPr="00576A91" w:rsidTr="00EB2345">
        <w:trPr>
          <w:trHeight w:val="272"/>
          <w:jc w:val="center"/>
        </w:trPr>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76A91" w:rsidRPr="00576A91" w:rsidRDefault="00576A91" w:rsidP="00576A91">
            <w:pPr>
              <w:jc w:val="left"/>
              <w:rPr>
                <w:rFonts w:ascii="Calibri" w:eastAsia="Times New Roman" w:hAnsi="Calibri" w:cs="Arial"/>
                <w:color w:val="000000"/>
              </w:rPr>
            </w:pPr>
            <w:r w:rsidRPr="00576A91">
              <w:rPr>
                <w:rFonts w:ascii="Calibri" w:eastAsia="Times New Roman" w:hAnsi="Calibri" w:cs="Arial"/>
                <w:color w:val="000000"/>
              </w:rPr>
              <w:t>WI</w:t>
            </w:r>
          </w:p>
        </w:tc>
        <w:tc>
          <w:tcPr>
            <w:tcW w:w="1053" w:type="dxa"/>
            <w:tcBorders>
              <w:top w:val="single" w:sz="4" w:space="0" w:color="auto"/>
              <w:left w:val="nil"/>
              <w:bottom w:val="single" w:sz="4" w:space="0" w:color="auto"/>
              <w:right w:val="single" w:sz="4" w:space="0" w:color="auto"/>
            </w:tcBorders>
            <w:shd w:val="clear" w:color="auto" w:fill="auto"/>
            <w:noWrap/>
            <w:vAlign w:val="bottom"/>
            <w:hideMark/>
          </w:tcPr>
          <w:p w:rsidR="00576A91" w:rsidRPr="00576A91" w:rsidRDefault="00576A91" w:rsidP="00576A91">
            <w:pPr>
              <w:jc w:val="center"/>
              <w:rPr>
                <w:rFonts w:ascii="Calibri" w:eastAsia="Times New Roman" w:hAnsi="Calibri" w:cs="Arial"/>
                <w:color w:val="000000"/>
              </w:rPr>
            </w:pPr>
            <w:r w:rsidRPr="00576A91">
              <w:rPr>
                <w:rFonts w:ascii="Calibri" w:eastAsia="Times New Roman" w:hAnsi="Calibri" w:cs="Arial"/>
                <w:color w:val="000000"/>
              </w:rPr>
              <w:t>185</w:t>
            </w:r>
          </w:p>
        </w:tc>
        <w:tc>
          <w:tcPr>
            <w:tcW w:w="1227" w:type="dxa"/>
            <w:tcBorders>
              <w:top w:val="single" w:sz="4" w:space="0" w:color="auto"/>
              <w:left w:val="nil"/>
              <w:bottom w:val="single" w:sz="4" w:space="0" w:color="auto"/>
              <w:right w:val="single" w:sz="4" w:space="0" w:color="auto"/>
            </w:tcBorders>
            <w:shd w:val="clear" w:color="auto" w:fill="auto"/>
            <w:noWrap/>
            <w:vAlign w:val="bottom"/>
            <w:hideMark/>
          </w:tcPr>
          <w:p w:rsidR="00576A91" w:rsidRPr="00576A91" w:rsidRDefault="00576A91" w:rsidP="00576A91">
            <w:pPr>
              <w:jc w:val="center"/>
              <w:rPr>
                <w:rFonts w:ascii="Calibri" w:eastAsia="Times New Roman" w:hAnsi="Calibri" w:cs="Arial"/>
                <w:color w:val="000000"/>
              </w:rPr>
            </w:pPr>
            <w:r w:rsidRPr="00576A91">
              <w:rPr>
                <w:rFonts w:ascii="Calibri" w:eastAsia="Times New Roman" w:hAnsi="Calibri" w:cs="Arial"/>
                <w:color w:val="000000"/>
              </w:rPr>
              <w:t>161</w:t>
            </w:r>
          </w:p>
        </w:tc>
        <w:tc>
          <w:tcPr>
            <w:tcW w:w="1227" w:type="dxa"/>
            <w:tcBorders>
              <w:top w:val="single" w:sz="4" w:space="0" w:color="auto"/>
              <w:left w:val="nil"/>
              <w:bottom w:val="single" w:sz="4" w:space="0" w:color="auto"/>
              <w:right w:val="single" w:sz="4" w:space="0" w:color="auto"/>
            </w:tcBorders>
            <w:shd w:val="clear" w:color="auto" w:fill="auto"/>
            <w:noWrap/>
            <w:vAlign w:val="bottom"/>
            <w:hideMark/>
          </w:tcPr>
          <w:p w:rsidR="00576A91" w:rsidRPr="00576A91" w:rsidRDefault="00576A91" w:rsidP="00576A91">
            <w:pPr>
              <w:jc w:val="center"/>
              <w:rPr>
                <w:rFonts w:ascii="Calibri" w:eastAsia="Times New Roman" w:hAnsi="Calibri" w:cs="Arial"/>
                <w:color w:val="000000"/>
              </w:rPr>
            </w:pPr>
            <w:r w:rsidRPr="00576A91">
              <w:rPr>
                <w:rFonts w:ascii="Calibri" w:eastAsia="Times New Roman" w:hAnsi="Calibri" w:cs="Arial"/>
                <w:color w:val="000000"/>
              </w:rPr>
              <w:t>87.03%</w:t>
            </w:r>
          </w:p>
        </w:tc>
        <w:tc>
          <w:tcPr>
            <w:tcW w:w="927" w:type="dxa"/>
            <w:tcBorders>
              <w:top w:val="single" w:sz="4" w:space="0" w:color="auto"/>
              <w:left w:val="nil"/>
              <w:bottom w:val="single" w:sz="4" w:space="0" w:color="auto"/>
              <w:right w:val="single" w:sz="4" w:space="0" w:color="auto"/>
            </w:tcBorders>
            <w:shd w:val="clear" w:color="auto" w:fill="auto"/>
            <w:noWrap/>
            <w:vAlign w:val="bottom"/>
            <w:hideMark/>
          </w:tcPr>
          <w:p w:rsidR="00576A91" w:rsidRPr="00576A91" w:rsidRDefault="00576A91" w:rsidP="00576A91">
            <w:pPr>
              <w:jc w:val="center"/>
              <w:rPr>
                <w:rFonts w:ascii="Calibri" w:eastAsia="Times New Roman" w:hAnsi="Calibri" w:cs="Arial"/>
                <w:color w:val="000000"/>
              </w:rPr>
            </w:pPr>
            <w:r w:rsidRPr="00576A91">
              <w:rPr>
                <w:rFonts w:ascii="Calibri" w:eastAsia="Times New Roman" w:hAnsi="Calibri" w:cs="Arial"/>
                <w:color w:val="000000"/>
              </w:rPr>
              <w:t>3</w:t>
            </w:r>
          </w:p>
        </w:tc>
        <w:tc>
          <w:tcPr>
            <w:tcW w:w="927" w:type="dxa"/>
            <w:tcBorders>
              <w:top w:val="single" w:sz="4" w:space="0" w:color="auto"/>
              <w:left w:val="nil"/>
              <w:bottom w:val="single" w:sz="4" w:space="0" w:color="auto"/>
              <w:right w:val="single" w:sz="4" w:space="0" w:color="auto"/>
            </w:tcBorders>
            <w:shd w:val="clear" w:color="auto" w:fill="auto"/>
            <w:noWrap/>
            <w:vAlign w:val="bottom"/>
            <w:hideMark/>
          </w:tcPr>
          <w:p w:rsidR="00576A91" w:rsidRPr="00576A91" w:rsidRDefault="00576A91" w:rsidP="00576A91">
            <w:pPr>
              <w:jc w:val="center"/>
              <w:rPr>
                <w:rFonts w:ascii="Calibri" w:eastAsia="Times New Roman" w:hAnsi="Calibri" w:cs="Arial"/>
                <w:color w:val="000000"/>
              </w:rPr>
            </w:pPr>
            <w:r w:rsidRPr="00576A91">
              <w:rPr>
                <w:rFonts w:ascii="Calibri" w:eastAsia="Times New Roman" w:hAnsi="Calibri" w:cs="Arial"/>
                <w:color w:val="000000"/>
              </w:rPr>
              <w:t>1.62%</w:t>
            </w:r>
          </w:p>
        </w:tc>
        <w:tc>
          <w:tcPr>
            <w:tcW w:w="1039" w:type="dxa"/>
            <w:tcBorders>
              <w:top w:val="single" w:sz="4" w:space="0" w:color="auto"/>
              <w:left w:val="nil"/>
              <w:bottom w:val="single" w:sz="4" w:space="0" w:color="auto"/>
              <w:right w:val="single" w:sz="4" w:space="0" w:color="auto"/>
            </w:tcBorders>
            <w:shd w:val="clear" w:color="auto" w:fill="auto"/>
            <w:noWrap/>
            <w:vAlign w:val="bottom"/>
            <w:hideMark/>
          </w:tcPr>
          <w:p w:rsidR="00576A91" w:rsidRPr="00576A91" w:rsidRDefault="00576A91" w:rsidP="00576A91">
            <w:pPr>
              <w:jc w:val="center"/>
              <w:rPr>
                <w:rFonts w:ascii="Calibri" w:eastAsia="Times New Roman" w:hAnsi="Calibri" w:cs="Arial"/>
                <w:color w:val="000000"/>
              </w:rPr>
            </w:pPr>
            <w:r w:rsidRPr="00576A91">
              <w:rPr>
                <w:rFonts w:ascii="Calibri" w:eastAsia="Times New Roman" w:hAnsi="Calibri" w:cs="Arial"/>
                <w:color w:val="000000"/>
              </w:rPr>
              <w:t>21</w:t>
            </w:r>
          </w:p>
        </w:tc>
        <w:tc>
          <w:tcPr>
            <w:tcW w:w="1116" w:type="dxa"/>
            <w:tcBorders>
              <w:top w:val="single" w:sz="4" w:space="0" w:color="auto"/>
              <w:left w:val="nil"/>
              <w:bottom w:val="single" w:sz="4" w:space="0" w:color="auto"/>
              <w:right w:val="nil"/>
            </w:tcBorders>
            <w:shd w:val="clear" w:color="auto" w:fill="auto"/>
            <w:noWrap/>
            <w:vAlign w:val="bottom"/>
            <w:hideMark/>
          </w:tcPr>
          <w:p w:rsidR="00576A91" w:rsidRPr="00576A91" w:rsidRDefault="00576A91" w:rsidP="00576A91">
            <w:pPr>
              <w:jc w:val="center"/>
              <w:rPr>
                <w:rFonts w:ascii="Calibri" w:eastAsia="Times New Roman" w:hAnsi="Calibri" w:cs="Arial"/>
                <w:color w:val="000000"/>
              </w:rPr>
            </w:pPr>
            <w:r w:rsidRPr="00576A91">
              <w:rPr>
                <w:rFonts w:ascii="Calibri" w:eastAsia="Times New Roman" w:hAnsi="Calibri" w:cs="Arial"/>
                <w:color w:val="000000"/>
              </w:rPr>
              <w:t>11.35%</w:t>
            </w:r>
          </w:p>
        </w:tc>
      </w:tr>
    </w:tbl>
    <w:p w:rsidR="00576A91" w:rsidRDefault="00576A91" w:rsidP="00EB2345">
      <w:pPr>
        <w:pStyle w:val="ListParagraph"/>
        <w:jc w:val="center"/>
      </w:pPr>
    </w:p>
    <w:p w:rsidR="00423BF8" w:rsidRPr="0094407C" w:rsidRDefault="00423BF8" w:rsidP="00EB2345">
      <w:pPr>
        <w:pStyle w:val="ListParagraph"/>
        <w:jc w:val="center"/>
      </w:pPr>
    </w:p>
    <w:p w:rsidR="00576A91" w:rsidRDefault="00576A91">
      <w:pPr>
        <w:rPr>
          <w:rFonts w:ascii="Helvetica" w:hAnsi="Helvetica" w:cs="Helvetica"/>
          <w:b/>
          <w:sz w:val="24"/>
          <w:szCs w:val="21"/>
        </w:rPr>
      </w:pPr>
    </w:p>
    <w:p w:rsidR="00576A91" w:rsidRPr="00EB2345" w:rsidRDefault="00576A91" w:rsidP="00576A91">
      <w:pPr>
        <w:pStyle w:val="ListParagraph"/>
        <w:numPr>
          <w:ilvl w:val="0"/>
          <w:numId w:val="6"/>
        </w:numPr>
        <w:rPr>
          <w:rFonts w:asciiTheme="minorHAnsi" w:hAnsiTheme="minorHAnsi"/>
        </w:rPr>
      </w:pPr>
      <w:r w:rsidRPr="00EB2345">
        <w:rPr>
          <w:rFonts w:asciiTheme="minorHAnsi" w:hAnsiTheme="minorHAnsi"/>
        </w:rPr>
        <w:t>Community Anchor Institution (CAI) Numbers from October 1, 2012 Submission:</w:t>
      </w:r>
    </w:p>
    <w:tbl>
      <w:tblPr>
        <w:tblStyle w:val="TableGrid"/>
        <w:tblpPr w:leftFromText="180" w:rightFromText="180" w:vertAnchor="text" w:horzAnchor="margin" w:tblpXSpec="center" w:tblpY="157"/>
        <w:tblW w:w="0" w:type="auto"/>
        <w:tblLook w:val="04A0" w:firstRow="1" w:lastRow="0" w:firstColumn="1" w:lastColumn="0" w:noHBand="0" w:noVBand="1"/>
      </w:tblPr>
      <w:tblGrid>
        <w:gridCol w:w="2880"/>
        <w:gridCol w:w="2160"/>
        <w:gridCol w:w="2160"/>
      </w:tblGrid>
      <w:tr w:rsidR="00576A91" w:rsidTr="00F003C3">
        <w:tc>
          <w:tcPr>
            <w:tcW w:w="2880" w:type="dxa"/>
            <w:shd w:val="clear" w:color="auto" w:fill="DDD9C3" w:themeFill="background2" w:themeFillShade="E6"/>
          </w:tcPr>
          <w:p w:rsidR="00576A91" w:rsidRPr="00BA26D2" w:rsidRDefault="00576A91" w:rsidP="00F003C3">
            <w:pPr>
              <w:rPr>
                <w:b/>
              </w:rPr>
            </w:pPr>
            <w:r w:rsidRPr="00BA26D2">
              <w:rPr>
                <w:b/>
              </w:rPr>
              <w:t>Total CAI Records</w:t>
            </w:r>
          </w:p>
        </w:tc>
        <w:tc>
          <w:tcPr>
            <w:tcW w:w="2160" w:type="dxa"/>
            <w:shd w:val="clear" w:color="auto" w:fill="DDD9C3" w:themeFill="background2" w:themeFillShade="E6"/>
          </w:tcPr>
          <w:p w:rsidR="00576A91" w:rsidRPr="00BA26D2" w:rsidRDefault="00423BF8" w:rsidP="00F003C3">
            <w:pPr>
              <w:rPr>
                <w:b/>
              </w:rPr>
            </w:pPr>
            <w:r>
              <w:rPr>
                <w:b/>
              </w:rPr>
              <w:t>4173</w:t>
            </w:r>
          </w:p>
        </w:tc>
        <w:tc>
          <w:tcPr>
            <w:tcW w:w="2160" w:type="dxa"/>
            <w:shd w:val="clear" w:color="auto" w:fill="DDD9C3" w:themeFill="background2" w:themeFillShade="E6"/>
          </w:tcPr>
          <w:p w:rsidR="00576A91" w:rsidRDefault="00576A91" w:rsidP="00F003C3"/>
        </w:tc>
      </w:tr>
      <w:tr w:rsidR="00576A91" w:rsidTr="00F003C3">
        <w:tc>
          <w:tcPr>
            <w:tcW w:w="2880" w:type="dxa"/>
          </w:tcPr>
          <w:p w:rsidR="00576A91" w:rsidRDefault="00576A91" w:rsidP="00F003C3">
            <w:r>
              <w:t>Broadband = Y</w:t>
            </w:r>
          </w:p>
        </w:tc>
        <w:tc>
          <w:tcPr>
            <w:tcW w:w="2160" w:type="dxa"/>
          </w:tcPr>
          <w:p w:rsidR="00576A91" w:rsidRDefault="00423BF8" w:rsidP="00F003C3">
            <w:r>
              <w:t>2573</w:t>
            </w:r>
          </w:p>
        </w:tc>
        <w:tc>
          <w:tcPr>
            <w:tcW w:w="2160" w:type="dxa"/>
          </w:tcPr>
          <w:p w:rsidR="00576A91" w:rsidRDefault="00423BF8" w:rsidP="00F003C3">
            <w:r>
              <w:t>62%</w:t>
            </w:r>
          </w:p>
        </w:tc>
      </w:tr>
      <w:tr w:rsidR="00576A91" w:rsidTr="00F003C3">
        <w:tc>
          <w:tcPr>
            <w:tcW w:w="2880" w:type="dxa"/>
          </w:tcPr>
          <w:p w:rsidR="00576A91" w:rsidRDefault="00576A91" w:rsidP="00F003C3">
            <w:r>
              <w:t>Broadband = N</w:t>
            </w:r>
          </w:p>
        </w:tc>
        <w:tc>
          <w:tcPr>
            <w:tcW w:w="2160" w:type="dxa"/>
          </w:tcPr>
          <w:p w:rsidR="00576A91" w:rsidRDefault="00423BF8" w:rsidP="00F003C3">
            <w:r>
              <w:t>793</w:t>
            </w:r>
          </w:p>
        </w:tc>
        <w:tc>
          <w:tcPr>
            <w:tcW w:w="2160" w:type="dxa"/>
          </w:tcPr>
          <w:p w:rsidR="00576A91" w:rsidRDefault="00423BF8" w:rsidP="00F003C3">
            <w:r>
              <w:t>19%</w:t>
            </w:r>
          </w:p>
        </w:tc>
      </w:tr>
      <w:tr w:rsidR="00576A91" w:rsidTr="00F003C3">
        <w:tc>
          <w:tcPr>
            <w:tcW w:w="2880" w:type="dxa"/>
          </w:tcPr>
          <w:p w:rsidR="00576A91" w:rsidRDefault="00576A91" w:rsidP="00F003C3">
            <w:r>
              <w:t>Broadband = U</w:t>
            </w:r>
          </w:p>
        </w:tc>
        <w:tc>
          <w:tcPr>
            <w:tcW w:w="2160" w:type="dxa"/>
          </w:tcPr>
          <w:p w:rsidR="00576A91" w:rsidRDefault="00423BF8" w:rsidP="00F003C3">
            <w:r>
              <w:t>807</w:t>
            </w:r>
          </w:p>
        </w:tc>
        <w:tc>
          <w:tcPr>
            <w:tcW w:w="2160" w:type="dxa"/>
          </w:tcPr>
          <w:p w:rsidR="00576A91" w:rsidRDefault="00423BF8" w:rsidP="00F003C3">
            <w:r>
              <w:t>19%</w:t>
            </w:r>
          </w:p>
        </w:tc>
      </w:tr>
    </w:tbl>
    <w:p w:rsidR="00576A91" w:rsidRDefault="00576A91">
      <w:pPr>
        <w:rPr>
          <w:rFonts w:ascii="Helvetica" w:hAnsi="Helvetica" w:cs="Helvetica"/>
          <w:b/>
          <w:sz w:val="24"/>
          <w:szCs w:val="21"/>
        </w:rPr>
      </w:pPr>
    </w:p>
    <w:p w:rsidR="00AA4514" w:rsidRDefault="00AA4514">
      <w:pPr>
        <w:rPr>
          <w:rFonts w:ascii="Helvetica" w:hAnsi="Helvetica" w:cs="Helvetica"/>
          <w:b/>
          <w:sz w:val="24"/>
          <w:szCs w:val="21"/>
        </w:rPr>
      </w:pPr>
    </w:p>
    <w:p w:rsidR="00576A91" w:rsidRDefault="00576A91">
      <w:pPr>
        <w:rPr>
          <w:rFonts w:ascii="Helvetica" w:hAnsi="Helvetica" w:cs="Helvetica"/>
          <w:b/>
          <w:sz w:val="24"/>
          <w:szCs w:val="21"/>
        </w:rPr>
      </w:pPr>
    </w:p>
    <w:p w:rsidR="00576A91" w:rsidRDefault="00576A91">
      <w:pPr>
        <w:rPr>
          <w:rFonts w:ascii="Helvetica" w:hAnsi="Helvetica" w:cs="Helvetica"/>
          <w:b/>
          <w:sz w:val="24"/>
          <w:szCs w:val="21"/>
        </w:rPr>
      </w:pPr>
    </w:p>
    <w:p w:rsidR="00576A91" w:rsidRDefault="00451912">
      <w:pPr>
        <w:rPr>
          <w:rFonts w:ascii="Helvetica" w:hAnsi="Helvetica" w:cs="Helvetica"/>
          <w:b/>
          <w:sz w:val="24"/>
          <w:szCs w:val="21"/>
        </w:rPr>
      </w:pPr>
      <w:r>
        <w:rPr>
          <w:rFonts w:ascii="Helvetica" w:hAnsi="Helvetica" w:cs="Helvetica"/>
          <w:b/>
          <w:noProof/>
          <w:sz w:val="24"/>
          <w:szCs w:val="21"/>
        </w:rPr>
        <mc:AlternateContent>
          <mc:Choice Requires="wps">
            <w:drawing>
              <wp:anchor distT="0" distB="0" distL="114300" distR="114300" simplePos="0" relativeHeight="251658240" behindDoc="0" locked="0" layoutInCell="1" allowOverlap="1">
                <wp:simplePos x="0" y="0"/>
                <wp:positionH relativeFrom="column">
                  <wp:posOffset>619125</wp:posOffset>
                </wp:positionH>
                <wp:positionV relativeFrom="paragraph">
                  <wp:posOffset>118745</wp:posOffset>
                </wp:positionV>
                <wp:extent cx="4829175" cy="372745"/>
                <wp:effectExtent l="0" t="4445" r="0"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9175" cy="372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76A91" w:rsidRPr="00AC016D" w:rsidRDefault="00576A91" w:rsidP="00576A91">
                            <w:pPr>
                              <w:pStyle w:val="ListParagraph"/>
                              <w:rPr>
                                <w:rFonts w:asciiTheme="minorHAnsi" w:hAnsiTheme="minorHAnsi"/>
                                <w:i/>
                                <w:sz w:val="16"/>
                                <w:szCs w:val="16"/>
                              </w:rPr>
                            </w:pPr>
                            <w:r w:rsidRPr="00AC016D">
                              <w:rPr>
                                <w:rFonts w:asciiTheme="minorHAnsi" w:hAnsiTheme="minorHAnsi"/>
                                <w:i/>
                                <w:sz w:val="16"/>
                                <w:szCs w:val="16"/>
                              </w:rPr>
                              <w:t>Note:  Our database defaults to “N” in some instead of “U” for BB Service.</w:t>
                            </w:r>
                          </w:p>
                          <w:p w:rsidR="00576A91" w:rsidRPr="00AC016D" w:rsidRDefault="00576A91" w:rsidP="00576A91">
                            <w:pPr>
                              <w:pStyle w:val="ListParagraph"/>
                              <w:rPr>
                                <w:rFonts w:asciiTheme="minorHAnsi" w:hAnsiTheme="minorHAnsi"/>
                                <w:i/>
                                <w:sz w:val="16"/>
                                <w:szCs w:val="16"/>
                              </w:rPr>
                            </w:pPr>
                            <w:r w:rsidRPr="00AC016D">
                              <w:rPr>
                                <w:rFonts w:asciiTheme="minorHAnsi" w:hAnsiTheme="minorHAnsi"/>
                                <w:i/>
                                <w:sz w:val="16"/>
                                <w:szCs w:val="16"/>
                              </w:rPr>
                              <w:t>We are working to correct this problem which will impact the numbers reported in future rounds.</w:t>
                            </w:r>
                          </w:p>
                          <w:p w:rsidR="00576A91" w:rsidRDefault="00576A91" w:rsidP="00576A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8.75pt;margin-top:9.35pt;width:380.25pt;height:29.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" stroked="f">
                <v:textbox>
                  <w:txbxContent>
                    <w:p w:rsidR="00576A91" w:rsidRPr="00AC016D" w:rsidRDefault="00576A91" w:rsidP="00576A91">
                      <w:pPr>
                        <w:pStyle w:val="ListParagraph"/>
                        <w:rPr>
                          <w:rFonts w:asciiTheme="minorHAnsi" w:hAnsiTheme="minorHAnsi"/>
                          <w:i/>
                          <w:sz w:val="16"/>
                          <w:szCs w:val="16"/>
                        </w:rPr>
                      </w:pPr>
                      <w:r w:rsidRPr="00AC016D">
                        <w:rPr>
                          <w:rFonts w:asciiTheme="minorHAnsi" w:hAnsiTheme="minorHAnsi"/>
                          <w:i/>
                          <w:sz w:val="16"/>
                          <w:szCs w:val="16"/>
                        </w:rPr>
                        <w:t>Note:  Our database defaults to “N” in some instead of “U” for BB Service.</w:t>
                      </w:r>
                    </w:p>
                    <w:p w:rsidR="00576A91" w:rsidRPr="00AC016D" w:rsidRDefault="00576A91" w:rsidP="00576A91">
                      <w:pPr>
                        <w:pStyle w:val="ListParagraph"/>
                        <w:rPr>
                          <w:rFonts w:asciiTheme="minorHAnsi" w:hAnsiTheme="minorHAnsi"/>
                          <w:i/>
                          <w:sz w:val="16"/>
                          <w:szCs w:val="16"/>
                        </w:rPr>
                      </w:pPr>
                      <w:r w:rsidRPr="00AC016D">
                        <w:rPr>
                          <w:rFonts w:asciiTheme="minorHAnsi" w:hAnsiTheme="minorHAnsi"/>
                          <w:i/>
                          <w:sz w:val="16"/>
                          <w:szCs w:val="16"/>
                        </w:rPr>
                        <w:t>We are working to correct this problem which will impact the numbers reported in future rounds.</w:t>
                      </w:r>
                    </w:p>
                    <w:p w:rsidR="00576A91" w:rsidRDefault="00576A91" w:rsidP="00576A91"/>
                  </w:txbxContent>
                </v:textbox>
              </v:shape>
            </w:pict>
          </mc:Fallback>
        </mc:AlternateContent>
      </w:r>
    </w:p>
    <w:p w:rsidR="00576A91" w:rsidRPr="00882199" w:rsidRDefault="00576A91">
      <w:pPr>
        <w:rPr>
          <w:rFonts w:ascii="Helvetica" w:hAnsi="Helvetica" w:cs="Helvetica"/>
          <w:b/>
          <w:sz w:val="24"/>
          <w:szCs w:val="21"/>
        </w:rPr>
      </w:pPr>
    </w:p>
    <w:p w:rsidR="00576A91" w:rsidRPr="00576A91" w:rsidRDefault="00576A91" w:rsidP="00576A91">
      <w:pPr>
        <w:pStyle w:val="ListParagraph"/>
        <w:spacing w:after="0" w:line="240" w:lineRule="auto"/>
      </w:pPr>
    </w:p>
    <w:p w:rsidR="00576A91" w:rsidRPr="00576A91" w:rsidRDefault="00576A91" w:rsidP="00576A91">
      <w:pPr>
        <w:pStyle w:val="ListParagraph"/>
        <w:spacing w:after="0" w:line="240" w:lineRule="auto"/>
      </w:pPr>
    </w:p>
    <w:p w:rsidR="00423BF8" w:rsidRPr="00423BF8" w:rsidRDefault="00423BF8" w:rsidP="00423BF8">
      <w:pPr>
        <w:pStyle w:val="ListParagraph"/>
        <w:spacing w:after="0" w:line="240" w:lineRule="auto"/>
      </w:pPr>
    </w:p>
    <w:p w:rsidR="00423BF8" w:rsidRPr="00423BF8" w:rsidRDefault="00423BF8" w:rsidP="00423BF8">
      <w:pPr>
        <w:pStyle w:val="ListParagraph"/>
        <w:spacing w:after="0" w:line="240" w:lineRule="auto"/>
      </w:pPr>
    </w:p>
    <w:p w:rsidR="00AA4514" w:rsidRDefault="00576A91" w:rsidP="00576A91">
      <w:pPr>
        <w:pStyle w:val="ListParagraph"/>
        <w:numPr>
          <w:ilvl w:val="0"/>
          <w:numId w:val="6"/>
        </w:numPr>
        <w:spacing w:after="0" w:line="240" w:lineRule="auto"/>
      </w:pPr>
      <w:r w:rsidRPr="00576A91">
        <w:rPr>
          <w:rFonts w:asciiTheme="minorHAnsi" w:hAnsiTheme="minorHAnsi"/>
        </w:rPr>
        <w:lastRenderedPageBreak/>
        <w:t>The</w:t>
      </w:r>
      <w:r>
        <w:t xml:space="preserve"> Wisconsin </w:t>
      </w:r>
      <w:r w:rsidR="00AA4514" w:rsidRPr="00B70D0B">
        <w:t xml:space="preserve">Cost </w:t>
      </w:r>
      <w:r w:rsidR="005B31ED">
        <w:t>Models</w:t>
      </w:r>
      <w:r w:rsidR="0066610F">
        <w:t xml:space="preserve"> </w:t>
      </w:r>
      <w:r>
        <w:t xml:space="preserve">were delivered to the </w:t>
      </w:r>
      <w:r w:rsidR="00423BF8">
        <w:t xml:space="preserve">WI </w:t>
      </w:r>
      <w:r>
        <w:t xml:space="preserve">PSC in 12Q4. </w:t>
      </w:r>
      <w:r w:rsidR="00AA4514" w:rsidRPr="00B70D0B">
        <w:t>These forward looking eco</w:t>
      </w:r>
      <w:r w:rsidR="00B70D0B">
        <w:t>nomic Cost Models, developed by</w:t>
      </w:r>
      <w:r w:rsidR="00AA4514" w:rsidRPr="00B70D0B">
        <w:t xml:space="preserve"> CostQuest, use a code base and modeling platform that develops the estimated costs of deploying and maintaining broadband services in currently unserved areas across the state.  These tools wil</w:t>
      </w:r>
      <w:r w:rsidR="00B70D0B">
        <w:t xml:space="preserve">l provide information to </w:t>
      </w:r>
      <w:r w:rsidR="00AA4514" w:rsidRPr="00B70D0B">
        <w:t xml:space="preserve">policy makers, providers and other stakeholders as they consider expansion of broadband </w:t>
      </w:r>
      <w:r w:rsidR="00882199" w:rsidRPr="00B70D0B">
        <w:t>to high</w:t>
      </w:r>
      <w:r w:rsidR="00AA4514" w:rsidRPr="00B70D0B">
        <w:t xml:space="preserve"> cost areas. </w:t>
      </w:r>
      <w:r>
        <w:t xml:space="preserve">   The models along with the state and national broadband maps will be presented to a larger stakeholde</w:t>
      </w:r>
      <w:r w:rsidR="00423BF8">
        <w:t>r group at the first annual WI Broadband S</w:t>
      </w:r>
      <w:r>
        <w:t xml:space="preserve">ummit scheduled for April 2013. </w:t>
      </w:r>
    </w:p>
    <w:p w:rsidR="009B743D" w:rsidRPr="000E50EF" w:rsidRDefault="009B743D" w:rsidP="00AA4514">
      <w:pPr>
        <w:rPr>
          <w:highlight w:val="yellow"/>
        </w:rPr>
      </w:pPr>
    </w:p>
    <w:p w:rsidR="00576A91" w:rsidRPr="00C227C9" w:rsidRDefault="00576A91" w:rsidP="00576A91">
      <w:pPr>
        <w:pStyle w:val="ListParagraph"/>
        <w:numPr>
          <w:ilvl w:val="0"/>
          <w:numId w:val="6"/>
        </w:numPr>
        <w:spacing w:after="0" w:line="240" w:lineRule="auto"/>
        <w:rPr>
          <w:rFonts w:asciiTheme="minorHAnsi" w:hAnsiTheme="minorHAnsi"/>
        </w:rPr>
      </w:pPr>
      <w:r w:rsidRPr="00C227C9">
        <w:rPr>
          <w:rFonts w:asciiTheme="minorHAnsi" w:hAnsiTheme="minorHAnsi"/>
        </w:rPr>
        <w:t>In Q2 2012 a provider survey was developed and sent to all ISP providers in the state to collect information regarding time i</w:t>
      </w:r>
      <w:r>
        <w:rPr>
          <w:rFonts w:asciiTheme="minorHAnsi" w:hAnsiTheme="minorHAnsi"/>
        </w:rPr>
        <w:t>nvestment in the program</w:t>
      </w:r>
      <w:r w:rsidRPr="00C227C9">
        <w:rPr>
          <w:rFonts w:asciiTheme="minorHAnsi" w:hAnsiTheme="minorHAnsi"/>
        </w:rPr>
        <w:t xml:space="preserve"> and to allow an opportunity for</w:t>
      </w:r>
      <w:r>
        <w:rPr>
          <w:rFonts w:asciiTheme="minorHAnsi" w:hAnsiTheme="minorHAnsi"/>
        </w:rPr>
        <w:t xml:space="preserve"> input on the SBI program and broadband</w:t>
      </w:r>
      <w:r w:rsidRPr="00C227C9">
        <w:rPr>
          <w:rFonts w:asciiTheme="minorHAnsi" w:hAnsiTheme="minorHAnsi"/>
        </w:rPr>
        <w:t xml:space="preserve"> development efforts currently underway or under consideration in the state.  The information collected </w:t>
      </w:r>
      <w:r>
        <w:rPr>
          <w:rFonts w:asciiTheme="minorHAnsi" w:hAnsiTheme="minorHAnsi"/>
        </w:rPr>
        <w:t xml:space="preserve">helps to measure the level of provider support in the state and </w:t>
      </w:r>
      <w:r w:rsidRPr="00C227C9">
        <w:rPr>
          <w:rFonts w:asciiTheme="minorHAnsi" w:hAnsiTheme="minorHAnsi"/>
        </w:rPr>
        <w:t xml:space="preserve">may have value for program match.  The survey </w:t>
      </w:r>
      <w:r>
        <w:rPr>
          <w:rFonts w:asciiTheme="minorHAnsi" w:hAnsiTheme="minorHAnsi"/>
        </w:rPr>
        <w:t xml:space="preserve">remains active on </w:t>
      </w:r>
      <w:r w:rsidRPr="00C227C9">
        <w:rPr>
          <w:rFonts w:asciiTheme="minorHAnsi" w:hAnsiTheme="minorHAnsi"/>
        </w:rPr>
        <w:t xml:space="preserve">the state’s data submission portal to allow for updates from providers as they continue to contribute to the program.  </w:t>
      </w:r>
    </w:p>
    <w:p w:rsidR="00B70D0B" w:rsidRDefault="00B70D0B" w:rsidP="00AA4514"/>
    <w:p w:rsidR="00A30970" w:rsidRDefault="00A30970" w:rsidP="00882199">
      <w:pPr>
        <w:rPr>
          <w:rFonts w:ascii="Helvetica" w:hAnsi="Helvetica" w:cs="Helvetica"/>
          <w:szCs w:val="21"/>
        </w:rPr>
      </w:pPr>
    </w:p>
    <w:p w:rsidR="00882199" w:rsidRPr="00882199" w:rsidRDefault="00882199" w:rsidP="00882199">
      <w:pPr>
        <w:rPr>
          <w:rFonts w:ascii="Helvetica" w:hAnsi="Helvetica" w:cs="Helvetica"/>
          <w:szCs w:val="21"/>
        </w:rPr>
      </w:pPr>
      <w:r w:rsidRPr="00882199">
        <w:rPr>
          <w:rFonts w:ascii="Helvetica" w:hAnsi="Helvetica" w:cs="Helvetica"/>
          <w:szCs w:val="21"/>
        </w:rPr>
        <w:t xml:space="preserve">Validation Processes:  </w:t>
      </w:r>
    </w:p>
    <w:p w:rsidR="00882199" w:rsidRDefault="00882199" w:rsidP="00882199">
      <w:pPr>
        <w:rPr>
          <w:rFonts w:ascii="Helvetica" w:hAnsi="Helvetica" w:cs="Helvetica"/>
          <w:b/>
          <w:sz w:val="24"/>
          <w:szCs w:val="21"/>
        </w:rPr>
      </w:pPr>
    </w:p>
    <w:p w:rsidR="00882199" w:rsidRDefault="00882199" w:rsidP="00882199">
      <w:pPr>
        <w:pStyle w:val="ListParagraph"/>
        <w:numPr>
          <w:ilvl w:val="0"/>
          <w:numId w:val="5"/>
        </w:numPr>
        <w:rPr>
          <w:rFonts w:asciiTheme="minorHAnsi" w:hAnsiTheme="minorHAnsi" w:cstheme="minorHAnsi"/>
        </w:rPr>
      </w:pPr>
      <w:r w:rsidRPr="009B743D">
        <w:rPr>
          <w:rFonts w:asciiTheme="minorHAnsi" w:hAnsiTheme="minorHAnsi" w:cstheme="minorHAnsi"/>
        </w:rPr>
        <w:t>Third Party Data Comparison:  Provider submitted data is compared against commercial data sources, such as legal exchange areas, American Roamer data files, and Warren Media Prints data files, to identify obvious anomalies or areas for further investigation.    This process is followed for new providers or in some instances when changes in coverage are reported by participating providers.</w:t>
      </w:r>
    </w:p>
    <w:p w:rsidR="009B743D" w:rsidRPr="009B743D" w:rsidRDefault="009B743D" w:rsidP="009B743D">
      <w:pPr>
        <w:pStyle w:val="ListParagraph"/>
        <w:rPr>
          <w:rFonts w:asciiTheme="minorHAnsi" w:hAnsiTheme="minorHAnsi" w:cstheme="minorHAnsi"/>
        </w:rPr>
      </w:pPr>
    </w:p>
    <w:p w:rsidR="00882199" w:rsidRPr="009B743D" w:rsidRDefault="00882199" w:rsidP="00882199">
      <w:pPr>
        <w:pStyle w:val="ListParagraph"/>
        <w:numPr>
          <w:ilvl w:val="0"/>
          <w:numId w:val="3"/>
        </w:numPr>
        <w:rPr>
          <w:rFonts w:asciiTheme="minorHAnsi" w:hAnsiTheme="minorHAnsi" w:cstheme="minorHAnsi"/>
        </w:rPr>
      </w:pPr>
      <w:r w:rsidRPr="009B743D">
        <w:rPr>
          <w:rFonts w:asciiTheme="minorHAnsi" w:hAnsiTheme="minorHAnsi" w:cstheme="minorHAnsi"/>
        </w:rPr>
        <w:t xml:space="preserve">For the October 1, 2012 submission we updated our DataPkg.xls to include a “NTIA name” column.  This column will be populated with the associated name for companies we are tracking, and/or submitting data for, that also appear on the third party lists used by NTIA for assessment purposes.  </w:t>
      </w:r>
    </w:p>
    <w:p w:rsidR="005B31ED" w:rsidRPr="009B743D" w:rsidRDefault="005B31ED" w:rsidP="005B31ED">
      <w:pPr>
        <w:pStyle w:val="ListParagraph"/>
        <w:rPr>
          <w:rFonts w:asciiTheme="minorHAnsi" w:hAnsiTheme="minorHAnsi" w:cstheme="minorHAnsi"/>
        </w:rPr>
      </w:pPr>
    </w:p>
    <w:p w:rsidR="00882199" w:rsidRPr="009B743D" w:rsidRDefault="00882199" w:rsidP="00882199">
      <w:pPr>
        <w:pStyle w:val="ListParagraph"/>
        <w:numPr>
          <w:ilvl w:val="0"/>
          <w:numId w:val="3"/>
        </w:numPr>
        <w:spacing w:before="120" w:after="120" w:line="276" w:lineRule="auto"/>
        <w:outlineLvl w:val="0"/>
        <w:rPr>
          <w:rFonts w:asciiTheme="minorHAnsi" w:hAnsiTheme="minorHAnsi" w:cstheme="minorHAnsi"/>
        </w:rPr>
      </w:pPr>
      <w:r w:rsidRPr="009B743D">
        <w:rPr>
          <w:rFonts w:asciiTheme="minorHAnsi" w:hAnsiTheme="minorHAnsi" w:cstheme="minorHAnsi"/>
        </w:rPr>
        <w:t>At the start of each data collection cycle “check maps” are created, based on data from previous submissions, for all participating providers.  These maps are gi</w:t>
      </w:r>
      <w:r w:rsidR="005B31ED" w:rsidRPr="009B743D">
        <w:rPr>
          <w:rFonts w:asciiTheme="minorHAnsi" w:hAnsiTheme="minorHAnsi" w:cstheme="minorHAnsi"/>
        </w:rPr>
        <w:t xml:space="preserve">ven to the providers in both </w:t>
      </w:r>
      <w:r w:rsidRPr="009B743D">
        <w:rPr>
          <w:rFonts w:asciiTheme="minorHAnsi" w:hAnsiTheme="minorHAnsi" w:cstheme="minorHAnsi"/>
        </w:rPr>
        <w:t xml:space="preserve">Google Earth and PDF format to allow for multiple response/viewing options.  This process allows us to reflect back to the Provider how their coverage/speed data is depicted for the SBI </w:t>
      </w:r>
      <w:r w:rsidRPr="009B743D">
        <w:rPr>
          <w:rFonts w:asciiTheme="minorHAnsi" w:hAnsiTheme="minorHAnsi" w:cstheme="minorHAnsi"/>
          <w:bCs/>
          <w:iCs/>
        </w:rPr>
        <w:t>program and provides more options and flexibility for them to submit coverage and speed updates.</w:t>
      </w:r>
    </w:p>
    <w:p w:rsidR="004D12C7" w:rsidRDefault="004D12C7" w:rsidP="00AA4514"/>
    <w:p w:rsidR="003E733D" w:rsidRDefault="003E733D" w:rsidP="00AA4514"/>
    <w:p w:rsidR="003E733D" w:rsidRPr="00AA4514" w:rsidRDefault="003E733D" w:rsidP="00AA4514"/>
    <w:sectPr w:rsidR="003E733D" w:rsidRPr="00AA4514" w:rsidSect="005C1C4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46A0F"/>
    <w:multiLevelType w:val="hybridMultilevel"/>
    <w:tmpl w:val="9B300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4A2D67"/>
    <w:multiLevelType w:val="hybridMultilevel"/>
    <w:tmpl w:val="78DAB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2A3605"/>
    <w:multiLevelType w:val="hybridMultilevel"/>
    <w:tmpl w:val="53205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850603"/>
    <w:multiLevelType w:val="hybridMultilevel"/>
    <w:tmpl w:val="FFA06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0A4443B"/>
    <w:multiLevelType w:val="hybridMultilevel"/>
    <w:tmpl w:val="C66ED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31DC"/>
    <w:rsid w:val="0008074E"/>
    <w:rsid w:val="0008470E"/>
    <w:rsid w:val="000A242F"/>
    <w:rsid w:val="000B6917"/>
    <w:rsid w:val="000C3B51"/>
    <w:rsid w:val="000E4BD4"/>
    <w:rsid w:val="000E50EF"/>
    <w:rsid w:val="000F72E9"/>
    <w:rsid w:val="00190EBB"/>
    <w:rsid w:val="00191C71"/>
    <w:rsid w:val="001A09C0"/>
    <w:rsid w:val="001A790A"/>
    <w:rsid w:val="001D4160"/>
    <w:rsid w:val="002702F3"/>
    <w:rsid w:val="003719F9"/>
    <w:rsid w:val="003B66F6"/>
    <w:rsid w:val="003C67B7"/>
    <w:rsid w:val="003E733D"/>
    <w:rsid w:val="00421D16"/>
    <w:rsid w:val="00423BF8"/>
    <w:rsid w:val="004246BB"/>
    <w:rsid w:val="00451912"/>
    <w:rsid w:val="00492F95"/>
    <w:rsid w:val="004C0200"/>
    <w:rsid w:val="004D12C7"/>
    <w:rsid w:val="004E0DFA"/>
    <w:rsid w:val="00554F86"/>
    <w:rsid w:val="00576A91"/>
    <w:rsid w:val="005B31ED"/>
    <w:rsid w:val="005C1C4F"/>
    <w:rsid w:val="006031DC"/>
    <w:rsid w:val="00623833"/>
    <w:rsid w:val="006322A2"/>
    <w:rsid w:val="0066610F"/>
    <w:rsid w:val="0072288F"/>
    <w:rsid w:val="00725AC4"/>
    <w:rsid w:val="00742AC9"/>
    <w:rsid w:val="00746D83"/>
    <w:rsid w:val="00774996"/>
    <w:rsid w:val="00794EA0"/>
    <w:rsid w:val="007C56FF"/>
    <w:rsid w:val="00882199"/>
    <w:rsid w:val="0089065D"/>
    <w:rsid w:val="0089492D"/>
    <w:rsid w:val="008D00BC"/>
    <w:rsid w:val="008E2DCD"/>
    <w:rsid w:val="008F3CBC"/>
    <w:rsid w:val="008F6ABB"/>
    <w:rsid w:val="00942962"/>
    <w:rsid w:val="009B743D"/>
    <w:rsid w:val="00A30970"/>
    <w:rsid w:val="00A61987"/>
    <w:rsid w:val="00A67714"/>
    <w:rsid w:val="00A75D03"/>
    <w:rsid w:val="00AA2265"/>
    <w:rsid w:val="00AA4514"/>
    <w:rsid w:val="00AB24E4"/>
    <w:rsid w:val="00B066BB"/>
    <w:rsid w:val="00B152BC"/>
    <w:rsid w:val="00B33F83"/>
    <w:rsid w:val="00B70D0B"/>
    <w:rsid w:val="00B7446B"/>
    <w:rsid w:val="00B85B2F"/>
    <w:rsid w:val="00B94C88"/>
    <w:rsid w:val="00BA46C3"/>
    <w:rsid w:val="00BD7BE8"/>
    <w:rsid w:val="00C467C1"/>
    <w:rsid w:val="00C70EE1"/>
    <w:rsid w:val="00CB5F99"/>
    <w:rsid w:val="00CC7A02"/>
    <w:rsid w:val="00D04328"/>
    <w:rsid w:val="00D05F27"/>
    <w:rsid w:val="00D34D3B"/>
    <w:rsid w:val="00DB48B7"/>
    <w:rsid w:val="00DD5C1B"/>
    <w:rsid w:val="00E62FDF"/>
    <w:rsid w:val="00E93FA5"/>
    <w:rsid w:val="00EB2345"/>
    <w:rsid w:val="00ED712E"/>
    <w:rsid w:val="00F01DA3"/>
    <w:rsid w:val="00F37C17"/>
    <w:rsid w:val="00F53694"/>
    <w:rsid w:val="00F726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1C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D12C7"/>
    <w:pPr>
      <w:spacing w:after="200" w:line="252" w:lineRule="auto"/>
      <w:ind w:left="720"/>
      <w:contextualSpacing/>
      <w:jc w:val="left"/>
    </w:pPr>
    <w:rPr>
      <w:rFonts w:ascii="Cambria" w:eastAsia="Times New Roman" w:hAnsi="Cambria" w:cs="Times New Roman"/>
      <w:lang w:bidi="en-US"/>
    </w:rPr>
  </w:style>
  <w:style w:type="table" w:styleId="TableGrid">
    <w:name w:val="Table Grid"/>
    <w:basedOn w:val="TableNormal"/>
    <w:uiPriority w:val="59"/>
    <w:rsid w:val="00576A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1C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D12C7"/>
    <w:pPr>
      <w:spacing w:after="200" w:line="252" w:lineRule="auto"/>
      <w:ind w:left="720"/>
      <w:contextualSpacing/>
      <w:jc w:val="left"/>
    </w:pPr>
    <w:rPr>
      <w:rFonts w:ascii="Cambria" w:eastAsia="Times New Roman" w:hAnsi="Cambria" w:cs="Times New Roman"/>
      <w:lang w:bidi="en-US"/>
    </w:rPr>
  </w:style>
  <w:style w:type="table" w:styleId="TableGrid">
    <w:name w:val="Table Grid"/>
    <w:basedOn w:val="TableNormal"/>
    <w:uiPriority w:val="59"/>
    <w:rsid w:val="00576A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0163855">
      <w:bodyDiv w:val="1"/>
      <w:marLeft w:val="0"/>
      <w:marRight w:val="0"/>
      <w:marTop w:val="0"/>
      <w:marBottom w:val="0"/>
      <w:divBdr>
        <w:top w:val="none" w:sz="0" w:space="0" w:color="auto"/>
        <w:left w:val="none" w:sz="0" w:space="0" w:color="auto"/>
        <w:bottom w:val="none" w:sz="0" w:space="0" w:color="auto"/>
        <w:right w:val="none" w:sz="0" w:space="0" w:color="auto"/>
      </w:divBdr>
    </w:div>
    <w:div w:id="1564097500">
      <w:bodyDiv w:val="1"/>
      <w:marLeft w:val="0"/>
      <w:marRight w:val="0"/>
      <w:marTop w:val="0"/>
      <w:marBottom w:val="0"/>
      <w:divBdr>
        <w:top w:val="none" w:sz="0" w:space="0" w:color="auto"/>
        <w:left w:val="none" w:sz="0" w:space="0" w:color="auto"/>
        <w:bottom w:val="none" w:sz="0" w:space="0" w:color="auto"/>
        <w:right w:val="none" w:sz="0" w:space="0" w:color="auto"/>
      </w:divBdr>
    </w:div>
    <w:div w:id="208791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574</Words>
  <Characters>3278</Characters>
  <Application>Microsoft Office Word</Application>
  <DocSecurity>4</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Melony Liebel</dc:creator>
  <cp:lastModifiedBy>Chattopadhyay, Tithi  PSC</cp:lastModifiedBy>
  <cp:revision>2</cp:revision>
  <dcterms:created xsi:type="dcterms:W3CDTF">2013-01-28T21:53:00Z</dcterms:created>
  <dcterms:modified xsi:type="dcterms:W3CDTF">2013-01-28T21:53:00Z</dcterms:modified>
</cp:coreProperties>
</file>